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11 vom 22. März 2022</w:t>
      </w:r>
    </w:p>
    <w:p>
      <w:r>
        <w:t>GR Gerichte, 2022-03-22, DE</w:t>
      </w:r>
    </w:p>
    <w:p>
      <w:r>
        <w:rPr>
          <w:b/>
        </w:rPr>
        <w:t xml:space="preserve">Quelle: </w:t>
      </w:r>
      <w:r>
        <w:t>https://mcp.opencaselaw.ch/entscheid/gr_gerichte_ZK2 2022 11</w:t>
      </w:r>
    </w:p>
    <w:p>
      <w:r>
        <w:t>FR: GR_GERICHTE ZK2 2022 11 du 22 mars 2022</w:t>
      </w:r>
    </w:p>
    <w:p>
      <w:r>
        <w:t>IT: GR_GERICHTE ZK2 2022 11 del 22 marzo 2022</w:t>
      </w:r>
    </w:p>
    <w:p>
      <w:pPr>
        <w:pStyle w:val="Heading2"/>
      </w:pPr>
      <w:r>
        <w:t>Regeste</w:t>
      </w:r>
    </w:p>
    <w:p>
      <w:r>
        <w:t>Einsprache gegen Mietausweisung | OR 253-273c Miete</w:t>
      </w:r>
    </w:p>
    <w:p>
      <w:pPr>
        <w:pStyle w:val="Heading2"/>
      </w:pPr>
      <w:r>
        <w:t>Erwägungen</w:t>
      </w:r>
    </w:p>
    <w:p>
      <w:r>
        <w:rPr>
          <w:b/>
        </w:rPr>
        <w:t>E. 3</w:t>
      </w:r>
    </w:p>
    <w:p>
      <w:r>
        <w:t>/ 10 zum Ganzen KGer GR ZK2 19 36 v. 7.8.2020 E. 1.2 m.w.H.). Die Beschwerde ist schriftlich und begründet einzureichen (Art. 321 Abs. 1 ZPO). Gemäss Art. 130 Abs. 1 ZPO sind Eingaben dem Gericht in Papierform oder elektronisch einzurei- chen. Sie sind ausserdem zu unterzeichnen. Bei elektronischer Übermittlung muss das Dokument, das die Eingabe und die Beilagen enthält, mit einer anerkannten elektronischen Signatur der Absenderin versehen sein (Art. 130 Abs. 2 ZPO). 1.2. Gemäss Angaben der Beschwerdeführerin wurde die angefochtene Ab- schreibungsverfügung von ihr am 14. Februar 2022 in Empfang genommen (vgl. act. A.1, S. 1). Die Frist endete demnach am 16. Februar 2022, womit sich die Be- schwerde vom 15. März 2022 als rechtzeitig erweist. Damit braucht der Umstand, dass die angefochtene Abschreibungsverfügung mit keiner Rechtsmittelbelehrung versehen ist, nicht näher thematisiert zu werden. Allerdings trägt die durch elek- tronische Übermittlung eingereichte Beschwerde gemäss Prüfbericht keine gültige qualifizierte elektronische Signatur, wie sie von Gesetzes wegen verlangt wäre. Wie sich aus den nachfolgenden Gründen ergibt, konnte vorliegend jedoch von einer Nachfristansetzung zur Behebung des Mangels abgesehen werden, da der Beschwerde aus anderen Gründen kein Erfolg beschieden ist. 1.3. Die Beschwerde gemäss Art. 319 lit. b Ziff. 2 ZPO steht unter der Voraus- setzung offen, dass durch den angefochtenen Entscheid ein nicht leicht wieder- gutzumachender Nachteil droht. Ein solcher kann einem Kläger beispielsweise entstehen, wenn die erneute Einreichung eines Schlichtungsgesuches verspätet ist, weil infolge des Ablaufs einer Verwirkungsfrist bei Abschreibung des Schlich- tungsverfahrens ein materieller Rechtsverlust eingetreten ist (vgl. BGer 4A_131/2013 v. 3.9.2013 E. 2.2.2.2 m.w.H.; ferner auch KGer GR ZK2 19 36 v. 7.8.2020 E. 1.3). Der Nachteil ist vom Beschwerdeführer zu beweisen, sofern er nicht von vornherein offenkundig ist (vgl. Karl Spühler, in: Spühler/Tenchio/ Infanger [Hrsg.], Basler Kommentar, Schweizerische Zivilprozessordnung, 3. Aufl., Basel 2017, N 14 zu Art. 319 ZPO). Die Beschwerdeführerin äussert sich mit kei- nem Wort dazu, welcher nicht leicht wiedergutzumachende Nachteil ihr durch den angefochtenen Entscheid droht. Ob ein solcher Nachteil hier offenkundig ist und daher – auch ohne entsprechende Geltendmachung – von Amtes wegen zu berücksichtigen wäre, kann offengelassen werden, da sich die Beschwerde aus anderen Gründen als unbegründet erweist. 2. Das Schlichtungsverfahren wurde von der Schlichtungsbehörde als erledigt abgeschrieben mit der Begründung, dass an der Schlichtungsverhandlung vom 11. Februar 2022 keine der Parteien anwesend gewesen sei, wobei bei Säumnis der klagenden Partei das Schlichtungsgesuch als zurückgezogen gelte und das</w:t>
      </w:r>
    </w:p>
    <w:p>
      <w:r>
        <w:rPr>
          <w:b/>
        </w:rPr>
        <w:t>E. 3.1</w:t>
      </w:r>
    </w:p>
    <w:p>
      <w:r>
        <w:t>Eine Partei, die eine Gerichtsperson ablehnen will, hat dem Gericht unver- züglich ein entsprechendes Gesuch zu stellen, sobald sie vom Ausstandsgrund Kenntnis erhalten hat (Art. 49 Abs. 1 ZPO). Wer die Gerichtsperson nicht unver- züglich ablehnt, nachdem er vom Ausstandsgrund Kenntnis erhalten hat, verwirkt</w:t>
      </w:r>
    </w:p>
    <w:p>
      <w:r>
        <w:rPr>
          <w:b/>
        </w:rPr>
        <w:t>E. 3.2</w:t>
      </w:r>
    </w:p>
    <w:p>
      <w:r>
        <w:t>Vorliegend wurde die Vorladung zur Schlichtungsverhandlung von D._____ unterzeichnet. Spätestens mit der Zustellung der Vorladung wusste die Beschwer- deführerin somit, dass D._____ das Schlichtungsverfahren leiten würde. In ihrem Schreiben vom 7. Februar 2022 führte die Beschwerdeführerin zwar aus, dass sie D._____ nicht vertrauen könne, weil er sie vor ein paar Jahren unfair behandelt habe. Ein (explizites) Ausstandsgesuch wurde damit aber nicht gestellt. Erst in ihrer Beschwerde beruft sich die Beschwerdeführerin auf eine angebliche Befan- genheit von D._____. Dies ist klarerweise verspätet und der Ablehnungsgrund damit verwirkt (vgl. hierzu auch BGer 5A_335/2010 v. 6.7.2010 E. 2.2.1 m.w.H.). Im Übrigen ist mehr als fraglich, ob die Ausstandseinrede den Begründungsanfor- derungen im Sinne von Art. 49 Abs. 1 ZPO zu genügen vermag, zumal nicht näher dargelegt wird, worin die angeblich fehlende Fairness bzw. die geltend gemachte Diskriminierung bestanden haben soll. Jedenfalls aber ist darauf hinzuweisen, dass allein die Tatsache, dass ein Entscheid nicht nach den Vorstellungen einer Partei ausfällt, keinen Ausstandsgrund darstellt. Die angefochtene Abschreibungsverfügung ist somit auch in dieser Hinsicht nicht zu beanstanden. Die Beschwerde ist damit insgesamt abzuweisen, soweit darauf überhaupt eingetreten werden kann. 4. Die vorliegende Entscheidung ergeht gestützt auf Art. 18 Abs. 3 GOG (BR 173.000) und Art. 7 Abs. 2 lit. b EGzZPO (BR 320.100) in einzelrichterlicher Kom- petenz. 5. Bei diesem Ergebnis gehen die Kosten des Beschwerdeverfahrens zu Las- ten der Beschwerdeführerin (Art. 106 Abs. 1 ZPO). Angesichts des verursachten Aufwands wird die Entscheidgebühr auf CHF 500.00 festgesetzt (Art. 15 Abs. 2 EGzZPO i.V.m. Art. 10 Abs. 1 und Art. 13 Abs. 1 VGZ [BR 320.210]). Mangels Einholen einer Beschwerdeantwort ist keine Parteientschädigung zu sprechen.</w:t>
      </w:r>
    </w:p>
    <w:p>
      <w:r>
        <w:rPr>
          <w:b/>
        </w:rPr>
        <w:t>E. 4</w:t>
      </w:r>
    </w:p>
    <w:p>
      <w:r>
        <w:t>/ 10 Verfahren vor der Schlichtungsbehörde als gegenstandslos geworden abzuschrei- ben sei (vgl. act. B.1). 2.1. Die Beschwerdeführerin bringt dagegen Folgendes vor: Aus finanziellen Gründen sei es ihr nicht möglich gewesen, nach Tiefencastel zu kommen. Es sei- en damals lediglich CHF 133.00 auf ihrem Konto gewesen. Die finanziellen Schwierigkeiten seien auf Corona zurückzuführen gewesen. Ausserdem hätte der Termin mit ihr abgesprochen werden sollen, da sie auf den ÖV angewiesen sei. Selbst nach der Absage ihrerseits sei keine Rücksprache um Verschiebung erfolgt (act. A.1, S. 1). 2.2. Das Gericht kann einen Erscheinungstermin aus zureichenden Gründen verschieben, und zwar von Amtes wegen oder wenn vor dem Termin darum er- sucht wird (Art. 135 ZPO). Die Bestimmung gilt auch für das Schlichtungsverfah- ren (vgl. Annette Dolge/Dominik Infanger, Schlichtungsverfahren, Zürich 2012, S. 65 f.). Es bedarf mithin eines Gesuchs, welches überdies vor dem Termin bzw. unverzüglich nach sicherer Kenntnis des Verschiebungsgrundes zu stellen ist (vgl. Beat Brändli/Alfred Bühler, in: Spühler/Tenchio/Infanger [Hrsg.], Basler Kommen- tar, Schweizerische Zivilprozessordnung, 3. Aufl., Basel 2017, N 8 zu Art. 135 ZPO). Es verstösst gegen Treu und Glauben (Art. 52 ZPO), ein Verschiebungsge- such trotz Kenntnis des Hinderungsgrundes hinauszuzögern und damit bis kurz vor dem Termin zuzuwarten. Ein so verzögertes Gesuch darf das Gericht bzw. die Schlichtungsbehörde ohne materielle Prüfung abweisen (Brändli/Bühler, a.a.O., N</w:t>
      </w:r>
    </w:p>
    <w:p>
      <w:r>
        <w:rPr>
          <w:b/>
        </w:rPr>
        <w:t>E. 9</w:t>
      </w:r>
    </w:p>
    <w:p>
      <w:r>
        <w:t>/ 10 seinen Ablehnungsanspruch (vgl. statt vieler BGE 136 I 207 E. 3.4 m.w.H.). Die Ausstandsgründe gemäss Art. 47 ZPO gelten auch für die Mitglieder der Schlich- tungsbehörden (BGer 4A_3/2012 v. 27.6.2012 E. 2.3).</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